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F9F9" w14:textId="77777777" w:rsidR="003270AA" w:rsidRPr="008C4759" w:rsidRDefault="003270AA" w:rsidP="003270A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D312AD">
        <w:rPr>
          <w:rFonts w:asciiTheme="majorHAnsi" w:hAnsiTheme="majorHAnsi" w:cstheme="majorHAnsi"/>
          <w:b/>
          <w:sz w:val="22"/>
          <w:szCs w:val="22"/>
        </w:rPr>
        <w:t>Hyundai Steel Czech s.r.o.</w:t>
      </w:r>
    </w:p>
    <w:p w14:paraId="2834B254" w14:textId="77777777" w:rsidR="003270AA" w:rsidRDefault="003270AA" w:rsidP="003270AA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IČ </w:t>
      </w:r>
      <w:r w:rsidRPr="00D312AD">
        <w:rPr>
          <w:rFonts w:asciiTheme="majorHAnsi" w:hAnsiTheme="majorHAnsi" w:cstheme="majorHAnsi"/>
          <w:sz w:val="22"/>
          <w:szCs w:val="22"/>
        </w:rPr>
        <w:t>27801659</w:t>
      </w:r>
    </w:p>
    <w:p w14:paraId="08AA1770" w14:textId="77777777" w:rsidR="003270AA" w:rsidRDefault="003270AA" w:rsidP="003270AA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 sídlem </w:t>
      </w:r>
      <w:r w:rsidRPr="00D312AD">
        <w:rPr>
          <w:rFonts w:asciiTheme="majorHAnsi" w:hAnsiTheme="majorHAnsi" w:cstheme="majorHAnsi"/>
          <w:sz w:val="22"/>
          <w:szCs w:val="22"/>
        </w:rPr>
        <w:t>Hyundai 333/5, 739 51 Nošovice</w:t>
      </w:r>
    </w:p>
    <w:p w14:paraId="0051CBC7" w14:textId="77777777" w:rsidR="003270AA" w:rsidRPr="006078BD" w:rsidRDefault="003270AA" w:rsidP="003270AA">
      <w:pPr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 w:rsidRPr="007C5E39">
        <w:rPr>
          <w:rFonts w:asciiTheme="majorHAnsi" w:hAnsiTheme="majorHAnsi" w:cstheme="majorHAnsi"/>
          <w:sz w:val="22"/>
          <w:szCs w:val="22"/>
        </w:rPr>
        <w:t>zapsaná v obchodním rejstříku vedeném Krajským soudem v Ostravě, oddíl C, vložka 52208</w:t>
      </w:r>
    </w:p>
    <w:p w14:paraId="5D034B96" w14:textId="77777777" w:rsidR="003270AA" w:rsidRPr="006078BD" w:rsidRDefault="003270AA" w:rsidP="003270AA"/>
    <w:p w14:paraId="62779F78" w14:textId="77777777" w:rsidR="003270AA" w:rsidRDefault="003270AA" w:rsidP="003270AA"/>
    <w:p w14:paraId="222DAEFD" w14:textId="77777777" w:rsidR="003270AA" w:rsidRPr="001D0993" w:rsidRDefault="003270AA" w:rsidP="003270AA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1D0993">
        <w:rPr>
          <w:rFonts w:asciiTheme="majorHAnsi" w:hAnsiTheme="majorHAnsi" w:cstheme="majorHAnsi"/>
          <w:b/>
          <w:sz w:val="26"/>
          <w:szCs w:val="26"/>
        </w:rPr>
        <w:t>INFORMACE O ZPRACOVÁNÍ OSOBNÍCH ÚDAJŮ</w:t>
      </w:r>
    </w:p>
    <w:p w14:paraId="4D9EE512" w14:textId="77777777" w:rsidR="003270AA" w:rsidRPr="001D0993" w:rsidRDefault="003270AA" w:rsidP="003270AA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3C6B01D" w14:textId="287D0EDD" w:rsidR="003270AA" w:rsidRDefault="003270AA" w:rsidP="003270AA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OZNAMOVATELŮ PORUŠENÍ PRÁV</w:t>
      </w:r>
    </w:p>
    <w:p w14:paraId="60AFECC8" w14:textId="581B8CD9" w:rsidR="003270AA" w:rsidRDefault="003270AA" w:rsidP="003270AA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p w14:paraId="33F732A8" w14:textId="66932E58" w:rsidR="003270AA" w:rsidRDefault="003270AA" w:rsidP="003270AA">
      <w:pPr>
        <w:jc w:val="center"/>
        <w:outlineLvl w:val="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ve smyslu </w:t>
      </w:r>
      <w:r w:rsidRPr="003270AA">
        <w:rPr>
          <w:rFonts w:asciiTheme="majorHAnsi" w:hAnsiTheme="majorHAnsi" w:cstheme="majorHAnsi"/>
          <w:b/>
          <w:sz w:val="26"/>
          <w:szCs w:val="26"/>
        </w:rPr>
        <w:t>Směrnice č. 2019/1937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3270AA">
        <w:rPr>
          <w:rFonts w:asciiTheme="majorHAnsi" w:hAnsiTheme="majorHAnsi" w:cstheme="majorHAnsi"/>
          <w:b/>
          <w:bCs/>
          <w:sz w:val="26"/>
          <w:szCs w:val="26"/>
        </w:rPr>
        <w:t>o ochraně osob, které oznamují porušení práva Unie</w:t>
      </w:r>
      <w:r w:rsidR="00430E4A">
        <w:rPr>
          <w:rFonts w:asciiTheme="majorHAnsi" w:hAnsiTheme="majorHAnsi" w:cstheme="majorHAnsi"/>
          <w:b/>
          <w:bCs/>
          <w:sz w:val="26"/>
          <w:szCs w:val="26"/>
        </w:rPr>
        <w:t xml:space="preserve">, a </w:t>
      </w:r>
      <w:r w:rsidR="00430E4A" w:rsidRPr="00430E4A">
        <w:rPr>
          <w:rFonts w:asciiTheme="majorHAnsi" w:hAnsiTheme="majorHAnsi" w:cstheme="majorHAnsi"/>
          <w:b/>
          <w:bCs/>
          <w:sz w:val="26"/>
          <w:szCs w:val="26"/>
        </w:rPr>
        <w:t>zákona č. 171/2023 Sb. o ochraně oznamovatelů</w:t>
      </w:r>
    </w:p>
    <w:p w14:paraId="5A574EEE" w14:textId="627BF400" w:rsidR="003270AA" w:rsidRDefault="003270AA" w:rsidP="003270AA">
      <w:pPr>
        <w:jc w:val="center"/>
        <w:outlineLvl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484C8149" w14:textId="3A08ACD4" w:rsidR="003270AA" w:rsidRDefault="003270AA" w:rsidP="003270AA">
      <w:pPr>
        <w:outlineLvl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130EA5CB" w14:textId="77777777" w:rsidR="003270AA" w:rsidRDefault="003270AA" w:rsidP="003270AA"/>
    <w:p w14:paraId="33FB134C" w14:textId="0DB4A922" w:rsidR="003270AA" w:rsidRDefault="003270AA" w:rsidP="003270A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Tato informace je určena všem osobám, které </w:t>
      </w:r>
      <w:r w:rsidRPr="006265E5">
        <w:rPr>
          <w:rFonts w:asciiTheme="majorHAnsi" w:hAnsiTheme="majorHAnsi" w:cstheme="majorHAnsi"/>
          <w:b/>
          <w:sz w:val="22"/>
          <w:szCs w:val="22"/>
        </w:rPr>
        <w:t>Hyundai Steel Czech s.r.o.</w:t>
      </w:r>
      <w:r>
        <w:rPr>
          <w:rFonts w:asciiTheme="majorHAnsi" w:hAnsiTheme="majorHAnsi" w:cstheme="majorHAnsi"/>
          <w:sz w:val="22"/>
          <w:szCs w:val="22"/>
        </w:rPr>
        <w:t xml:space="preserve"> jakožto správci osobních údajů (dále jen „</w:t>
      </w:r>
      <w:r>
        <w:rPr>
          <w:rFonts w:asciiTheme="majorHAnsi" w:hAnsiTheme="majorHAnsi" w:cstheme="majorHAnsi"/>
          <w:b/>
          <w:sz w:val="22"/>
          <w:szCs w:val="22"/>
        </w:rPr>
        <w:t>správce OÚ</w:t>
      </w:r>
      <w:r>
        <w:rPr>
          <w:rFonts w:asciiTheme="majorHAnsi" w:hAnsiTheme="majorHAnsi" w:cstheme="majorHAnsi"/>
          <w:sz w:val="22"/>
          <w:szCs w:val="22"/>
        </w:rPr>
        <w:t xml:space="preserve">“) oznamují porušení práv Evropské Unie ve </w:t>
      </w:r>
      <w:r w:rsidRPr="003270AA">
        <w:rPr>
          <w:rFonts w:asciiTheme="majorHAnsi" w:hAnsiTheme="majorHAnsi" w:cstheme="majorHAnsi"/>
          <w:sz w:val="22"/>
          <w:szCs w:val="22"/>
        </w:rPr>
        <w:t>smyslu</w:t>
      </w:r>
      <w:r w:rsidRPr="003270AA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Pr="003270AA">
        <w:rPr>
          <w:rFonts w:asciiTheme="majorHAnsi" w:hAnsiTheme="majorHAnsi" w:cstheme="majorHAnsi"/>
          <w:sz w:val="22"/>
          <w:szCs w:val="22"/>
        </w:rPr>
        <w:t>Směrnice č. 2019/1937 o ochraně osob, které oznamují porušení práva Unie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30E4A">
        <w:rPr>
          <w:rFonts w:asciiTheme="majorHAnsi" w:hAnsiTheme="majorHAnsi" w:cstheme="majorHAnsi"/>
          <w:sz w:val="22"/>
          <w:szCs w:val="22"/>
        </w:rPr>
        <w:t xml:space="preserve">a zákona č. </w:t>
      </w:r>
      <w:r w:rsidR="00430E4A">
        <w:rPr>
          <w:rFonts w:asciiTheme="majorHAnsi" w:hAnsiTheme="majorHAnsi" w:cstheme="majorHAnsi"/>
          <w:bCs/>
        </w:rPr>
        <w:t>171/2023 Sb. o ochraně oznamovatelů</w:t>
      </w:r>
      <w:r w:rsidR="00430E4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(dále jen „</w:t>
      </w:r>
      <w:r w:rsidRPr="003270AA">
        <w:rPr>
          <w:rFonts w:asciiTheme="majorHAnsi" w:hAnsiTheme="majorHAnsi" w:cstheme="majorHAnsi"/>
          <w:b/>
          <w:bCs/>
          <w:sz w:val="22"/>
          <w:szCs w:val="22"/>
        </w:rPr>
        <w:t>Oznamovatelé</w:t>
      </w:r>
      <w:r>
        <w:rPr>
          <w:rFonts w:asciiTheme="majorHAnsi" w:hAnsiTheme="majorHAnsi" w:cstheme="majorHAnsi"/>
          <w:sz w:val="22"/>
          <w:szCs w:val="22"/>
        </w:rPr>
        <w:t>“</w:t>
      </w:r>
      <w:r w:rsidR="00430E4A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„</w:t>
      </w:r>
      <w:r w:rsidRPr="003270AA">
        <w:rPr>
          <w:rFonts w:asciiTheme="majorHAnsi" w:hAnsiTheme="majorHAnsi" w:cstheme="majorHAnsi"/>
          <w:b/>
          <w:bCs/>
          <w:sz w:val="22"/>
          <w:szCs w:val="22"/>
        </w:rPr>
        <w:t>Směrnice</w:t>
      </w:r>
      <w:r>
        <w:rPr>
          <w:rFonts w:asciiTheme="majorHAnsi" w:hAnsiTheme="majorHAnsi" w:cstheme="majorHAnsi"/>
          <w:sz w:val="22"/>
          <w:szCs w:val="22"/>
        </w:rPr>
        <w:t>“</w:t>
      </w:r>
      <w:r w:rsidR="00430E4A">
        <w:rPr>
          <w:rFonts w:asciiTheme="majorHAnsi" w:hAnsiTheme="majorHAnsi" w:cstheme="majorHAnsi"/>
          <w:sz w:val="22"/>
          <w:szCs w:val="22"/>
        </w:rPr>
        <w:t xml:space="preserve"> a „</w:t>
      </w:r>
      <w:r w:rsidR="00430E4A" w:rsidRPr="00430E4A">
        <w:rPr>
          <w:rFonts w:asciiTheme="majorHAnsi" w:hAnsiTheme="majorHAnsi" w:cstheme="majorHAnsi"/>
          <w:b/>
          <w:bCs/>
          <w:sz w:val="22"/>
          <w:szCs w:val="22"/>
        </w:rPr>
        <w:t>Zákon</w:t>
      </w:r>
      <w:r w:rsidR="00430E4A">
        <w:rPr>
          <w:rFonts w:asciiTheme="majorHAnsi" w:hAnsiTheme="majorHAnsi" w:cstheme="majorHAnsi"/>
          <w:sz w:val="22"/>
          <w:szCs w:val="22"/>
        </w:rPr>
        <w:t>“</w:t>
      </w:r>
      <w:r>
        <w:rPr>
          <w:rFonts w:asciiTheme="majorHAnsi" w:hAnsiTheme="majorHAnsi" w:cstheme="majorHAnsi"/>
          <w:sz w:val="22"/>
          <w:szCs w:val="22"/>
        </w:rPr>
        <w:t>). V souladu s čl. 17 Směrnice se jakékoli zpracování osobních údajů podle Směrnice řídí Nařízením Evropského parlamentu a Rady (EU) č. 2016/679, tzv. O</w:t>
      </w:r>
      <w:r w:rsidRPr="007178B6">
        <w:rPr>
          <w:rFonts w:asciiTheme="majorHAnsi" w:hAnsiTheme="majorHAnsi" w:cstheme="majorHAnsi"/>
          <w:sz w:val="22"/>
          <w:szCs w:val="22"/>
        </w:rPr>
        <w:t>becn</w:t>
      </w:r>
      <w:r>
        <w:rPr>
          <w:rFonts w:asciiTheme="majorHAnsi" w:hAnsiTheme="majorHAnsi" w:cstheme="majorHAnsi"/>
          <w:sz w:val="22"/>
          <w:szCs w:val="22"/>
        </w:rPr>
        <w:t>ým</w:t>
      </w:r>
      <w:r w:rsidRPr="007178B6">
        <w:rPr>
          <w:rFonts w:asciiTheme="majorHAnsi" w:hAnsiTheme="majorHAnsi" w:cstheme="majorHAnsi"/>
          <w:sz w:val="22"/>
          <w:szCs w:val="22"/>
        </w:rPr>
        <w:t xml:space="preserve"> nařízení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7178B6">
        <w:rPr>
          <w:rFonts w:asciiTheme="majorHAnsi" w:hAnsiTheme="majorHAnsi" w:cstheme="majorHAnsi"/>
          <w:sz w:val="22"/>
          <w:szCs w:val="22"/>
        </w:rPr>
        <w:t xml:space="preserve"> o ochraně osobních údajů</w:t>
      </w:r>
      <w:r w:rsidR="002D1B06">
        <w:rPr>
          <w:rFonts w:asciiTheme="majorHAnsi" w:hAnsiTheme="majorHAnsi" w:cstheme="majorHAnsi"/>
          <w:sz w:val="22"/>
          <w:szCs w:val="22"/>
        </w:rPr>
        <w:t xml:space="preserve"> (dále jen „</w:t>
      </w:r>
      <w:r w:rsidR="002D1B06" w:rsidRPr="002D1B06">
        <w:rPr>
          <w:rFonts w:asciiTheme="majorHAnsi" w:hAnsiTheme="majorHAnsi" w:cstheme="majorHAnsi"/>
          <w:b/>
          <w:bCs/>
          <w:sz w:val="22"/>
          <w:szCs w:val="22"/>
        </w:rPr>
        <w:t>Nařízení</w:t>
      </w:r>
      <w:r w:rsidR="002D1B06">
        <w:rPr>
          <w:rFonts w:asciiTheme="majorHAnsi" w:hAnsiTheme="majorHAnsi" w:cstheme="majorHAnsi"/>
          <w:sz w:val="22"/>
          <w:szCs w:val="22"/>
        </w:rPr>
        <w:t>“).</w:t>
      </w:r>
    </w:p>
    <w:p w14:paraId="42200714" w14:textId="77777777" w:rsidR="003270AA" w:rsidRDefault="003270AA" w:rsidP="003270AA">
      <w:pPr>
        <w:pStyle w:val="Odstavecseseznamem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61BC5425" w14:textId="4B5D4745" w:rsidR="003270AA" w:rsidRPr="00CD324B" w:rsidRDefault="003270AA" w:rsidP="003270A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Správce OÚ zpracovává o </w:t>
      </w:r>
      <w:r w:rsidR="00CD324B">
        <w:rPr>
          <w:rFonts w:asciiTheme="majorHAnsi" w:hAnsiTheme="majorHAnsi" w:cstheme="majorHAnsi"/>
          <w:sz w:val="22"/>
          <w:szCs w:val="22"/>
        </w:rPr>
        <w:t>Oznamovatelích</w:t>
      </w:r>
      <w:r>
        <w:rPr>
          <w:rFonts w:asciiTheme="majorHAnsi" w:hAnsiTheme="majorHAnsi" w:cstheme="majorHAnsi"/>
          <w:sz w:val="22"/>
          <w:szCs w:val="22"/>
        </w:rPr>
        <w:t xml:space="preserve"> ty informace, které mu sami poskytnou, zejména v rámci </w:t>
      </w:r>
      <w:r w:rsidR="00CD324B">
        <w:rPr>
          <w:rFonts w:asciiTheme="majorHAnsi" w:hAnsiTheme="majorHAnsi" w:cstheme="majorHAnsi"/>
          <w:sz w:val="22"/>
          <w:szCs w:val="22"/>
        </w:rPr>
        <w:t>oznámení, zaslaného prostřednictvím elektronického vnitřního oznamovacího systému</w:t>
      </w:r>
      <w:r w:rsidR="008B4C6A">
        <w:rPr>
          <w:rFonts w:asciiTheme="majorHAnsi" w:hAnsiTheme="majorHAnsi" w:cstheme="majorHAnsi"/>
          <w:sz w:val="22"/>
          <w:szCs w:val="22"/>
        </w:rPr>
        <w:t xml:space="preserve"> nebo jiným způsobem, který Zákon nebo Směrnice připouští</w:t>
      </w:r>
      <w:r w:rsidR="00CD324B">
        <w:rPr>
          <w:rFonts w:asciiTheme="majorHAnsi" w:hAnsiTheme="majorHAnsi" w:cstheme="majorHAnsi"/>
          <w:sz w:val="22"/>
          <w:szCs w:val="22"/>
        </w:rPr>
        <w:t xml:space="preserve">. Oznamovatelem může být zaměstnanec </w:t>
      </w:r>
      <w:r w:rsidR="00790C6B">
        <w:rPr>
          <w:rFonts w:asciiTheme="majorHAnsi" w:hAnsiTheme="majorHAnsi" w:cstheme="majorHAnsi"/>
          <w:sz w:val="22"/>
          <w:szCs w:val="22"/>
        </w:rPr>
        <w:t>s</w:t>
      </w:r>
      <w:r w:rsidR="00CD324B">
        <w:rPr>
          <w:rFonts w:asciiTheme="majorHAnsi" w:hAnsiTheme="majorHAnsi" w:cstheme="majorHAnsi"/>
          <w:sz w:val="22"/>
          <w:szCs w:val="22"/>
        </w:rPr>
        <w:t xml:space="preserve">právce OÚ nebo jiná osoba, která je v pracovním kontextu ve vztahu ke </w:t>
      </w:r>
      <w:r w:rsidR="00790C6B">
        <w:rPr>
          <w:rFonts w:asciiTheme="majorHAnsi" w:hAnsiTheme="majorHAnsi" w:cstheme="majorHAnsi"/>
          <w:sz w:val="22"/>
          <w:szCs w:val="22"/>
        </w:rPr>
        <w:t>s</w:t>
      </w:r>
      <w:r w:rsidR="00CD324B">
        <w:rPr>
          <w:rFonts w:asciiTheme="majorHAnsi" w:hAnsiTheme="majorHAnsi" w:cstheme="majorHAnsi"/>
          <w:sz w:val="22"/>
          <w:szCs w:val="22"/>
        </w:rPr>
        <w:t xml:space="preserve">právci OÚ a která činí oznámení. Poskytnutí osobních údajů v rámci oznámení není povinné, pro účely splnění povinností </w:t>
      </w:r>
      <w:r w:rsidR="00790C6B">
        <w:rPr>
          <w:rFonts w:asciiTheme="majorHAnsi" w:hAnsiTheme="majorHAnsi" w:cstheme="majorHAnsi"/>
          <w:sz w:val="22"/>
          <w:szCs w:val="22"/>
        </w:rPr>
        <w:t>s</w:t>
      </w:r>
      <w:r w:rsidR="00CD324B">
        <w:rPr>
          <w:rFonts w:asciiTheme="majorHAnsi" w:hAnsiTheme="majorHAnsi" w:cstheme="majorHAnsi"/>
          <w:sz w:val="22"/>
          <w:szCs w:val="22"/>
        </w:rPr>
        <w:t xml:space="preserve">právce OÚ </w:t>
      </w:r>
      <w:r w:rsidR="00CD324B" w:rsidRPr="00CD324B">
        <w:rPr>
          <w:rFonts w:asciiTheme="majorHAnsi" w:hAnsiTheme="majorHAnsi" w:cstheme="majorHAnsi"/>
          <w:sz w:val="22"/>
          <w:szCs w:val="22"/>
        </w:rPr>
        <w:t>vyplývající</w:t>
      </w:r>
      <w:r w:rsidR="00CD324B">
        <w:rPr>
          <w:rFonts w:asciiTheme="majorHAnsi" w:hAnsiTheme="majorHAnsi" w:cstheme="majorHAnsi"/>
          <w:sz w:val="22"/>
          <w:szCs w:val="22"/>
        </w:rPr>
        <w:t>ch</w:t>
      </w:r>
      <w:r w:rsidR="00CD324B" w:rsidRPr="00CD324B">
        <w:rPr>
          <w:rFonts w:asciiTheme="majorHAnsi" w:hAnsiTheme="majorHAnsi" w:cstheme="majorHAnsi"/>
          <w:sz w:val="22"/>
          <w:szCs w:val="22"/>
        </w:rPr>
        <w:t xml:space="preserve"> přijatého oznámení </w:t>
      </w:r>
      <w:r w:rsidR="00CD324B">
        <w:rPr>
          <w:rFonts w:asciiTheme="majorHAnsi" w:hAnsiTheme="majorHAnsi" w:cstheme="majorHAnsi"/>
          <w:sz w:val="22"/>
          <w:szCs w:val="22"/>
        </w:rPr>
        <w:t xml:space="preserve">je však nezbytné </w:t>
      </w:r>
      <w:r w:rsidR="00CD324B" w:rsidRPr="00CD324B">
        <w:rPr>
          <w:rFonts w:asciiTheme="majorHAnsi" w:hAnsiTheme="majorHAnsi" w:cstheme="majorHAnsi"/>
          <w:sz w:val="22"/>
          <w:szCs w:val="22"/>
        </w:rPr>
        <w:t>alespoň uvedení funkční e-mailové adresy oznamovatele. Tato e-mailová adresa nemusí obsahovat jméno, příjmení nebo jakékoli další identifikační údaje oznamovatele.</w:t>
      </w:r>
    </w:p>
    <w:p w14:paraId="10F4ED08" w14:textId="77777777" w:rsidR="003270AA" w:rsidRDefault="003270AA" w:rsidP="003270AA">
      <w:pPr>
        <w:pStyle w:val="Odstavecseseznamem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F35FA5D" w14:textId="18C8C8D2" w:rsidR="003270AA" w:rsidRPr="00645A71" w:rsidRDefault="003270AA" w:rsidP="003270AA">
      <w:pPr>
        <w:pStyle w:val="Odstavecseseznamem"/>
        <w:numPr>
          <w:ilvl w:val="0"/>
          <w:numId w:val="1"/>
        </w:numPr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</w:rPr>
        <w:t>Správce OÚ</w:t>
      </w:r>
      <w:r w:rsidRPr="00F06005">
        <w:rPr>
          <w:rFonts w:asciiTheme="majorHAnsi" w:hAnsiTheme="majorHAnsi" w:cstheme="majorHAnsi"/>
          <w:sz w:val="22"/>
          <w:szCs w:val="22"/>
        </w:rPr>
        <w:t xml:space="preserve"> jakožto správce osobních údajů </w:t>
      </w:r>
      <w:r w:rsidR="00CD324B">
        <w:rPr>
          <w:rFonts w:asciiTheme="majorHAnsi" w:hAnsiTheme="majorHAnsi" w:cstheme="majorHAnsi"/>
          <w:sz w:val="22"/>
          <w:szCs w:val="22"/>
        </w:rPr>
        <w:t>oznamovatelů</w:t>
      </w:r>
      <w:r w:rsidRPr="00F06005">
        <w:rPr>
          <w:rFonts w:asciiTheme="majorHAnsi" w:hAnsiTheme="majorHAnsi" w:cstheme="majorHAnsi"/>
          <w:sz w:val="22"/>
          <w:szCs w:val="22"/>
        </w:rPr>
        <w:t xml:space="preserve"> poskytuje těmto </w:t>
      </w:r>
      <w:r>
        <w:rPr>
          <w:rFonts w:asciiTheme="majorHAnsi" w:hAnsiTheme="majorHAnsi" w:cstheme="majorHAnsi"/>
          <w:sz w:val="22"/>
          <w:szCs w:val="22"/>
        </w:rPr>
        <w:t xml:space="preserve">jakožto subjektům osobních údajů </w:t>
      </w:r>
      <w:r w:rsidRPr="00F06005">
        <w:rPr>
          <w:rFonts w:asciiTheme="majorHAnsi" w:hAnsiTheme="majorHAnsi" w:cstheme="majorHAnsi"/>
          <w:sz w:val="22"/>
          <w:szCs w:val="22"/>
        </w:rPr>
        <w:t xml:space="preserve">ve smyslu čl. 13 </w:t>
      </w:r>
      <w:r>
        <w:rPr>
          <w:rFonts w:asciiTheme="majorHAnsi" w:hAnsiTheme="majorHAnsi" w:cstheme="majorHAnsi"/>
          <w:sz w:val="22"/>
          <w:szCs w:val="22"/>
        </w:rPr>
        <w:t>odst. 1 a odst. 2 Nařízení následující informace o zpracování osobních údajů:</w:t>
      </w:r>
    </w:p>
    <w:p w14:paraId="79DB1CA6" w14:textId="1655F79F" w:rsidR="003270AA" w:rsidRDefault="003270AA" w:rsidP="003270AA">
      <w:pPr>
        <w:outlineLvl w:val="0"/>
        <w:rPr>
          <w:rFonts w:asciiTheme="majorHAnsi" w:hAnsiTheme="majorHAnsi" w:cstheme="majorHAnsi"/>
          <w:b/>
          <w:sz w:val="26"/>
          <w:szCs w:val="26"/>
        </w:rPr>
      </w:pPr>
    </w:p>
    <w:p w14:paraId="7B094562" w14:textId="77777777" w:rsidR="00CD324B" w:rsidRPr="001D0993" w:rsidRDefault="00CD324B" w:rsidP="003270AA">
      <w:pPr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CD324B" w:rsidRPr="00CD6E5A" w14:paraId="194E86E0" w14:textId="77777777" w:rsidTr="00E92212">
        <w:tc>
          <w:tcPr>
            <w:tcW w:w="3256" w:type="dxa"/>
          </w:tcPr>
          <w:p w14:paraId="0AC4F41F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Totožnost a kontaktní údaje správce:</w:t>
            </w:r>
          </w:p>
          <w:p w14:paraId="40D5F35F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00" w:type="dxa"/>
          </w:tcPr>
          <w:p w14:paraId="6AE6607F" w14:textId="77777777" w:rsidR="00CD324B" w:rsidRPr="00645A71" w:rsidRDefault="00CD324B" w:rsidP="00E9221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5A71">
              <w:rPr>
                <w:rFonts w:asciiTheme="majorHAnsi" w:hAnsiTheme="majorHAnsi" w:cstheme="majorHAnsi"/>
                <w:b/>
                <w:sz w:val="20"/>
                <w:szCs w:val="20"/>
              </w:rPr>
              <w:t>Hyundai Steel Czech s.r.o.</w:t>
            </w:r>
          </w:p>
          <w:p w14:paraId="2310D1F0" w14:textId="77777777" w:rsidR="00CD324B" w:rsidRPr="00645A71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IČ 27801659</w:t>
            </w:r>
          </w:p>
          <w:p w14:paraId="5752A9F2" w14:textId="77777777" w:rsidR="00CD324B" w:rsidRPr="00CD6E5A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se sídlem Hyundai 333/5, 739 51 Nošovice</w:t>
            </w:r>
          </w:p>
        </w:tc>
      </w:tr>
      <w:tr w:rsidR="00CD324B" w:rsidRPr="00CD6E5A" w14:paraId="1A74E597" w14:textId="77777777" w:rsidTr="00E92212">
        <w:tc>
          <w:tcPr>
            <w:tcW w:w="3256" w:type="dxa"/>
          </w:tcPr>
          <w:p w14:paraId="749910AB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Pověřenec pro ochranu osobních údajů (DPO)</w:t>
            </w:r>
          </w:p>
        </w:tc>
        <w:tc>
          <w:tcPr>
            <w:tcW w:w="5800" w:type="dxa"/>
          </w:tcPr>
          <w:p w14:paraId="2F217366" w14:textId="77777777" w:rsidR="00CD324B" w:rsidRPr="00645A71" w:rsidRDefault="00CD324B" w:rsidP="00E92212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45A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Jansa, Mokrý, Otevřel &amp; partneři s.r.o., advokátní kancelář</w:t>
            </w:r>
          </w:p>
          <w:p w14:paraId="3154CC86" w14:textId="77777777" w:rsidR="00CD324B" w:rsidRPr="00645A71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IČ </w:t>
            </w: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03604772</w:t>
            </w:r>
          </w:p>
          <w:p w14:paraId="1D36FA90" w14:textId="77777777" w:rsidR="00CD324B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 sídlem </w:t>
            </w: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Sokola Tůmy 16, Ostrava, PSČ 709 00</w:t>
            </w:r>
          </w:p>
          <w:p w14:paraId="61371D88" w14:textId="77777777" w:rsidR="00CD324B" w:rsidRPr="00CD6E5A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5A7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Pověřená osoba:</w:t>
            </w: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 xml:space="preserve"> Mgr. et Mgr. Petr Mališ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tel. </w:t>
            </w: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596 11 22 33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e-mail </w:t>
            </w:r>
            <w:r w:rsidRPr="00645A71">
              <w:rPr>
                <w:rFonts w:asciiTheme="majorHAnsi" w:hAnsiTheme="majorHAnsi" w:cstheme="majorHAnsi"/>
                <w:sz w:val="20"/>
                <w:szCs w:val="20"/>
              </w:rPr>
              <w:t>malis@lawyer.cz</w:t>
            </w:r>
          </w:p>
        </w:tc>
      </w:tr>
      <w:tr w:rsidR="00CD324B" w:rsidRPr="00CD6E5A" w14:paraId="035AB311" w14:textId="77777777" w:rsidTr="00E92212">
        <w:tc>
          <w:tcPr>
            <w:tcW w:w="3256" w:type="dxa"/>
          </w:tcPr>
          <w:p w14:paraId="11989D03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Účel zpracování osobních údajů </w:t>
            </w:r>
          </w:p>
        </w:tc>
        <w:tc>
          <w:tcPr>
            <w:tcW w:w="5800" w:type="dxa"/>
          </w:tcPr>
          <w:p w14:paraId="26CC36B0" w14:textId="6A1F72F9" w:rsidR="00CD324B" w:rsidRPr="00CD6E5A" w:rsidRDefault="00D41F5A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1F5A">
              <w:rPr>
                <w:rFonts w:asciiTheme="majorHAnsi" w:hAnsiTheme="majorHAnsi" w:cstheme="majorHAnsi"/>
                <w:sz w:val="20"/>
                <w:szCs w:val="20"/>
              </w:rPr>
              <w:t>provoz vnitřního oznamovacího systému ve smyslu Směrnice č. 2019/1937 o ochraně osob, oznamujících porušení práva Unie</w:t>
            </w:r>
          </w:p>
        </w:tc>
      </w:tr>
      <w:tr w:rsidR="00CD324B" w:rsidRPr="00CD6E5A" w14:paraId="3ED34E5B" w14:textId="77777777" w:rsidTr="00E92212">
        <w:tc>
          <w:tcPr>
            <w:tcW w:w="3256" w:type="dxa"/>
          </w:tcPr>
          <w:p w14:paraId="49943E56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Právní základ zpracování</w:t>
            </w:r>
          </w:p>
        </w:tc>
        <w:tc>
          <w:tcPr>
            <w:tcW w:w="5800" w:type="dxa"/>
          </w:tcPr>
          <w:p w14:paraId="3C7A6722" w14:textId="00350352" w:rsidR="00CD324B" w:rsidRPr="00D41F5A" w:rsidRDefault="00CD324B" w:rsidP="00D41F5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1F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čl. 6 odst. 1 písm. </w:t>
            </w:r>
            <w:r w:rsidR="00D41F5A" w:rsidRPr="00D41F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Pr="00D41F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  <w:r w:rsidRPr="00D41F5A">
              <w:rPr>
                <w:rFonts w:asciiTheme="majorHAnsi" w:hAnsiTheme="majorHAnsi" w:cstheme="majorHAnsi"/>
                <w:sz w:val="20"/>
                <w:szCs w:val="20"/>
              </w:rPr>
              <w:t xml:space="preserve"> Nařízení - </w:t>
            </w:r>
            <w:r w:rsidR="00D41F5A" w:rsidRPr="00D41F5A">
              <w:rPr>
                <w:rFonts w:asciiTheme="majorHAnsi" w:hAnsiTheme="majorHAnsi" w:cstheme="majorHAnsi"/>
                <w:sz w:val="20"/>
                <w:szCs w:val="20"/>
              </w:rPr>
              <w:t xml:space="preserve">zpracování je nezbytné pro plnění právní povinnosti, vztahující se na správce (příjem a vyřizování oznámení ve smyslu Směrnice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>a Zákona</w:t>
            </w:r>
            <w:r w:rsidR="00D41F5A" w:rsidRPr="00D41F5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D41F5A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</w:tr>
      <w:tr w:rsidR="00CD324B" w:rsidRPr="00CD6E5A" w14:paraId="4E975373" w14:textId="77777777" w:rsidTr="00E92212">
        <w:tc>
          <w:tcPr>
            <w:tcW w:w="3256" w:type="dxa"/>
          </w:tcPr>
          <w:p w14:paraId="2B9B87A4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Příjemci nebo kategorie příjemců osobních údajů</w:t>
            </w:r>
          </w:p>
        </w:tc>
        <w:tc>
          <w:tcPr>
            <w:tcW w:w="5800" w:type="dxa"/>
          </w:tcPr>
          <w:p w14:paraId="08AF77E5" w14:textId="0D086459" w:rsidR="00CD324B" w:rsidRPr="00CD6E5A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D6E5A">
              <w:rPr>
                <w:rFonts w:asciiTheme="majorHAnsi" w:hAnsiTheme="majorHAnsi" w:cstheme="majorHAnsi"/>
                <w:sz w:val="20"/>
                <w:szCs w:val="20"/>
              </w:rPr>
              <w:t xml:space="preserve">Osobní údaje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D41F5A">
              <w:rPr>
                <w:rFonts w:asciiTheme="majorHAnsi" w:hAnsiTheme="majorHAnsi" w:cstheme="majorHAnsi"/>
                <w:sz w:val="20"/>
                <w:szCs w:val="20"/>
              </w:rPr>
              <w:t xml:space="preserve">znamovatelů 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 xml:space="preserve">zpracovává výhradně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>Příslušná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 xml:space="preserve"> osoba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 xml:space="preserve">ustanovená ve smyslu Zákona pro příjem oznámení 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 xml:space="preserve">bez souhlasu Oznamovatelů nemohou být </w:t>
            </w:r>
            <w:r w:rsidR="00D41F5A">
              <w:rPr>
                <w:rFonts w:asciiTheme="majorHAnsi" w:hAnsiTheme="majorHAnsi" w:cstheme="majorHAnsi"/>
                <w:sz w:val="20"/>
                <w:szCs w:val="20"/>
              </w:rPr>
              <w:t>předá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>ny</w:t>
            </w:r>
            <w:r w:rsidR="00D41F5A">
              <w:rPr>
                <w:rFonts w:asciiTheme="majorHAnsi" w:hAnsiTheme="majorHAnsi" w:cstheme="majorHAnsi"/>
                <w:sz w:val="20"/>
                <w:szCs w:val="20"/>
              </w:rPr>
              <w:t xml:space="preserve"> žádným dalším osobám</w:t>
            </w:r>
            <w:r w:rsidRPr="00CD6E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41F5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 xml:space="preserve">jiným zaměstnancům Správce OÚ ani třetím osobám). Smyslem vnitřního oznamovacího systému je chránit totožnost </w:t>
            </w:r>
            <w:r w:rsidR="00A07A85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>znamovatelů.</w:t>
            </w:r>
          </w:p>
        </w:tc>
      </w:tr>
      <w:tr w:rsidR="00CD324B" w:rsidRPr="00CD6E5A" w14:paraId="6D82C778" w14:textId="77777777" w:rsidTr="00E92212">
        <w:tc>
          <w:tcPr>
            <w:tcW w:w="3256" w:type="dxa"/>
          </w:tcPr>
          <w:p w14:paraId="1E6932A7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Předání osobních údajů do zemí mimo EU</w:t>
            </w:r>
          </w:p>
        </w:tc>
        <w:tc>
          <w:tcPr>
            <w:tcW w:w="5800" w:type="dxa"/>
          </w:tcPr>
          <w:p w14:paraId="44C8FC45" w14:textId="6D8388FE" w:rsidR="00CD324B" w:rsidRPr="00CD6E5A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Správce OÚ</w:t>
            </w:r>
            <w:r w:rsidRPr="00CD6E5A">
              <w:rPr>
                <w:rFonts w:asciiTheme="majorHAnsi" w:hAnsiTheme="majorHAnsi" w:cstheme="majorHAnsi"/>
                <w:sz w:val="20"/>
                <w:szCs w:val="20"/>
              </w:rPr>
              <w:t xml:space="preserve"> nepředává osobní údaje </w:t>
            </w:r>
            <w:r w:rsidR="00790C6B">
              <w:rPr>
                <w:rFonts w:asciiTheme="majorHAnsi" w:hAnsiTheme="majorHAnsi" w:cstheme="majorHAnsi"/>
                <w:sz w:val="20"/>
                <w:szCs w:val="20"/>
              </w:rPr>
              <w:t>Oznamovatelů</w:t>
            </w:r>
            <w:r w:rsidRPr="00CD6E5A">
              <w:rPr>
                <w:rFonts w:asciiTheme="majorHAnsi" w:hAnsiTheme="majorHAnsi" w:cstheme="majorHAnsi"/>
                <w:sz w:val="20"/>
                <w:szCs w:val="20"/>
              </w:rPr>
              <w:t xml:space="preserve"> do žádných zemí mimo EU, a to ani v rámci využívání jakýchkoli datových úložišť a cloudových služeb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D324B" w:rsidRPr="00CD6E5A" w14:paraId="736E61CC" w14:textId="77777777" w:rsidTr="00E92212">
        <w:tc>
          <w:tcPr>
            <w:tcW w:w="3256" w:type="dxa"/>
          </w:tcPr>
          <w:p w14:paraId="4D2B2FB8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Doba uložení osobních údajů</w:t>
            </w:r>
          </w:p>
        </w:tc>
        <w:tc>
          <w:tcPr>
            <w:tcW w:w="5800" w:type="dxa"/>
          </w:tcPr>
          <w:p w14:paraId="07EEE907" w14:textId="3474BE9C" w:rsidR="00CD324B" w:rsidRPr="00CD6E5A" w:rsidRDefault="00121B49" w:rsidP="00121B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Osobní údaje jsou v rámci vnitřního oznamovacího systému uchovávány </w:t>
            </w:r>
            <w:r w:rsidRPr="00121B49">
              <w:rPr>
                <w:rFonts w:asciiTheme="majorHAnsi" w:hAnsiTheme="majorHAnsi" w:cstheme="majorHAnsi"/>
                <w:sz w:val="20"/>
                <w:szCs w:val="20"/>
              </w:rPr>
              <w:t>po dobu 5 (pět</w:t>
            </w:r>
            <w:r w:rsidR="00F4381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121B49">
              <w:rPr>
                <w:rFonts w:asciiTheme="majorHAnsi" w:hAnsiTheme="majorHAnsi" w:cstheme="majorHAnsi"/>
                <w:sz w:val="20"/>
                <w:szCs w:val="20"/>
              </w:rPr>
              <w:t>) let od přijetí oznámení</w:t>
            </w:r>
          </w:p>
        </w:tc>
      </w:tr>
      <w:tr w:rsidR="00CD324B" w:rsidRPr="00CD6E5A" w14:paraId="22216660" w14:textId="77777777" w:rsidTr="00E92212">
        <w:tc>
          <w:tcPr>
            <w:tcW w:w="3256" w:type="dxa"/>
          </w:tcPr>
          <w:p w14:paraId="6CAAB38C" w14:textId="6CF50768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Práva </w:t>
            </w:r>
            <w:r w:rsidR="00121B49">
              <w:rPr>
                <w:rFonts w:asciiTheme="majorHAnsi" w:hAnsiTheme="majorHAnsi" w:cstheme="majorHAnsi"/>
                <w:b/>
                <w:sz w:val="20"/>
                <w:szCs w:val="20"/>
              </w:rPr>
              <w:t>Oznamovatele</w:t>
            </w: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00" w:type="dxa"/>
          </w:tcPr>
          <w:p w14:paraId="6BB701C2" w14:textId="3A8587E4" w:rsidR="00CD324B" w:rsidRDefault="00121B49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Oznamovatel</w:t>
            </w:r>
            <w:r w:rsidR="00CD324B" w:rsidRPr="00CD6E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D324B">
              <w:rPr>
                <w:rFonts w:asciiTheme="majorHAnsi" w:hAnsiTheme="majorHAnsi" w:cstheme="majorHAnsi"/>
                <w:sz w:val="20"/>
                <w:szCs w:val="20"/>
              </w:rPr>
              <w:t>má právo u správce OÚ uplatnit následující práva:</w:t>
            </w:r>
          </w:p>
          <w:p w14:paraId="66CB7213" w14:textId="77777777" w:rsidR="00CD324B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právo na přístup k osobním údajům;</w:t>
            </w:r>
          </w:p>
          <w:p w14:paraId="25E433D2" w14:textId="77777777" w:rsidR="00CD324B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právo na vysvětlení a opravu osobních údajů;</w:t>
            </w:r>
          </w:p>
          <w:p w14:paraId="3EA4CEDD" w14:textId="77777777" w:rsidR="00CD324B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právo na výmaz osobních údajů;</w:t>
            </w:r>
          </w:p>
          <w:p w14:paraId="53A0CA60" w14:textId="77777777" w:rsidR="00CD324B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právo na omezení zpracování</w:t>
            </w:r>
          </w:p>
          <w:p w14:paraId="17635578" w14:textId="77777777" w:rsidR="00CD324B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právo na podání stížnosti k Úřadu pro ochranu osobních údajů</w:t>
            </w:r>
          </w:p>
          <w:p w14:paraId="58D29816" w14:textId="77777777" w:rsidR="00CD324B" w:rsidRPr="00BE00E6" w:rsidRDefault="00CD324B" w:rsidP="00CD324B">
            <w:pPr>
              <w:pStyle w:val="Odstavecseseznamem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BE00E6">
              <w:rPr>
                <w:rFonts w:asciiTheme="majorHAnsi" w:hAnsiTheme="majorHAnsi" w:cstheme="majorHAnsi"/>
                <w:sz w:val="20"/>
                <w:szCs w:val="20"/>
              </w:rPr>
              <w:t>rávo nebýt předmětem automatizovaného rozhodování včetně profilování</w:t>
            </w:r>
          </w:p>
        </w:tc>
      </w:tr>
      <w:tr w:rsidR="00CD324B" w:rsidRPr="00CD6E5A" w14:paraId="7B156486" w14:textId="77777777" w:rsidTr="00E92212">
        <w:tc>
          <w:tcPr>
            <w:tcW w:w="3256" w:type="dxa"/>
          </w:tcPr>
          <w:p w14:paraId="7661374E" w14:textId="0490A26F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Informace o právech, která se na </w:t>
            </w:r>
            <w:r w:rsidR="00121B49">
              <w:rPr>
                <w:rFonts w:asciiTheme="majorHAnsi" w:hAnsiTheme="majorHAnsi" w:cstheme="majorHAnsi"/>
                <w:b/>
                <w:sz w:val="20"/>
                <w:szCs w:val="20"/>
              </w:rPr>
              <w:t>Oznamovatele</w:t>
            </w: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nevztahují</w:t>
            </w:r>
          </w:p>
        </w:tc>
        <w:tc>
          <w:tcPr>
            <w:tcW w:w="5800" w:type="dxa"/>
          </w:tcPr>
          <w:p w14:paraId="0A93A1A7" w14:textId="1BF9A89B" w:rsidR="00CD324B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 xml:space="preserve">S ohledem na to, že v rámci zpracování osobních údajů 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 xml:space="preserve"> ze strany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správce OÚ</w:t>
            </w: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 xml:space="preserve"> nejsou splněny podmínky pro přenositelnost osobních údajů ve smyslu čl. 20 Nařízení (zpracování není prováděno na základě souhlasu 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 xml:space="preserve">ani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není prováděno automatizovaně</w:t>
            </w: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 xml:space="preserve">), nemá </w:t>
            </w:r>
            <w:r w:rsidR="00121B49">
              <w:rPr>
                <w:rFonts w:asciiTheme="majorHAnsi" w:hAnsiTheme="majorHAnsi" w:cstheme="majorHAnsi"/>
                <w:sz w:val="20"/>
                <w:szCs w:val="20"/>
              </w:rPr>
              <w:t xml:space="preserve">Oznamovatel </w:t>
            </w:r>
            <w:r w:rsidRPr="00676C71">
              <w:rPr>
                <w:rFonts w:asciiTheme="majorHAnsi" w:hAnsiTheme="majorHAnsi" w:cstheme="majorHAnsi"/>
                <w:sz w:val="20"/>
                <w:szCs w:val="20"/>
              </w:rPr>
              <w:t>možnost toto právo uplatňovat.</w:t>
            </w:r>
          </w:p>
          <w:p w14:paraId="6E456F1E" w14:textId="7C2A0847" w:rsidR="00CD324B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Správce OÚ</w:t>
            </w:r>
            <w:r w:rsidRPr="00F66708">
              <w:rPr>
                <w:rFonts w:asciiTheme="majorHAnsi" w:hAnsiTheme="majorHAnsi" w:cstheme="majorHAnsi"/>
                <w:sz w:val="20"/>
                <w:szCs w:val="20"/>
              </w:rPr>
              <w:t xml:space="preserve"> zpracovává údaje 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 w:rsidRPr="00F66708">
              <w:rPr>
                <w:rFonts w:asciiTheme="majorHAnsi" w:hAnsiTheme="majorHAnsi" w:cstheme="majorHAnsi"/>
                <w:sz w:val="20"/>
                <w:szCs w:val="20"/>
              </w:rPr>
              <w:t xml:space="preserve"> na základě jiných právních základů, než je souhlas 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 w:rsidRPr="00F66708">
              <w:rPr>
                <w:rFonts w:asciiTheme="majorHAnsi" w:hAnsiTheme="majorHAnsi" w:cstheme="majorHAnsi"/>
                <w:sz w:val="20"/>
                <w:szCs w:val="20"/>
              </w:rPr>
              <w:t xml:space="preserve"> se zpracováním osobních údajů. Z tohoto důvodu nemůže 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>Oznamovatel</w:t>
            </w:r>
            <w:r w:rsidRPr="00F66708">
              <w:rPr>
                <w:rFonts w:asciiTheme="majorHAnsi" w:hAnsiTheme="majorHAnsi" w:cstheme="majorHAnsi"/>
                <w:sz w:val="20"/>
                <w:szCs w:val="20"/>
              </w:rPr>
              <w:t xml:space="preserve"> uplatňovat právo na odvolání souhlasu se zpracováním osobních údajů.</w:t>
            </w:r>
          </w:p>
          <w:p w14:paraId="5CAD2FF3" w14:textId="43E78E57" w:rsidR="00121B49" w:rsidRPr="00D333D6" w:rsidRDefault="00121B49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Osobní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 xml:space="preserve"> údaje nejsou zpracovávány na základě výkonu oprávněných zájmů správce OÚ (čl. 6 odst. 1 písm. f) Nařízení), ani v rámci </w:t>
            </w:r>
            <w:r w:rsidR="00C91845" w:rsidRPr="00C91845">
              <w:rPr>
                <w:rFonts w:asciiTheme="majorHAnsi" w:hAnsiTheme="majorHAnsi" w:cstheme="majorHAnsi"/>
                <w:sz w:val="20"/>
                <w:szCs w:val="20"/>
              </w:rPr>
              <w:t>splnění úkolu prováděného ve veřejném zájmu nebo při výkonu veřejné moci, kterým je pověřen správce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 xml:space="preserve"> OÚ (čl. 6 odst. 1 písm. e) Nařízení. Oznamovatel tedy nemůže uplatnit právo na podání námitky proti zpracování OÚ ve smyslu čl. 21 Nařízení.</w:t>
            </w:r>
          </w:p>
        </w:tc>
      </w:tr>
      <w:tr w:rsidR="00CD324B" w:rsidRPr="00CD6E5A" w14:paraId="22225279" w14:textId="77777777" w:rsidTr="00E92212">
        <w:tc>
          <w:tcPr>
            <w:tcW w:w="3256" w:type="dxa"/>
          </w:tcPr>
          <w:p w14:paraId="7EBE746B" w14:textId="78A82E19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Informace o způsobu uplatnění práv </w:t>
            </w:r>
            <w:r w:rsidR="00C91845">
              <w:rPr>
                <w:rFonts w:asciiTheme="majorHAnsi" w:hAnsiTheme="majorHAnsi" w:cstheme="majorHAnsi"/>
                <w:b/>
                <w:sz w:val="20"/>
                <w:szCs w:val="20"/>
              </w:rPr>
              <w:t>Oznamovatelem</w:t>
            </w:r>
          </w:p>
        </w:tc>
        <w:tc>
          <w:tcPr>
            <w:tcW w:w="5800" w:type="dxa"/>
          </w:tcPr>
          <w:p w14:paraId="6B8523EE" w14:textId="78448021" w:rsidR="00CD324B" w:rsidRPr="00B94229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 xml:space="preserve">Práva dle tohoto dokumentu může 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>Oznamovatel</w:t>
            </w: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 xml:space="preserve"> uplatnit následujícími způsoby:</w:t>
            </w:r>
          </w:p>
          <w:p w14:paraId="52BFE895" w14:textId="77777777" w:rsidR="00C91845" w:rsidRDefault="00C91845" w:rsidP="00CD324B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e-mailem zaslaným z e-mailové adresy Oznamovatele, uvedené v rámci Oznámení</w:t>
            </w:r>
          </w:p>
          <w:p w14:paraId="6DC0536D" w14:textId="653A641A" w:rsidR="00CD324B" w:rsidRPr="00B94229" w:rsidRDefault="00CD324B" w:rsidP="00CD324B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 xml:space="preserve">osobně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 sídle správce OÚ</w:t>
            </w: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>, na základě předložení platného občanského průkazu;</w:t>
            </w:r>
          </w:p>
          <w:p w14:paraId="39FFB728" w14:textId="5D718CFB" w:rsidR="00CD324B" w:rsidRPr="00C91845" w:rsidRDefault="00CD324B" w:rsidP="00C91845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 xml:space="preserve">elektronicky prostřednictvím datové schránky </w:t>
            </w:r>
            <w:r w:rsidR="00C91845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 w:rsidRPr="00B94229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</w:tr>
      <w:tr w:rsidR="00CD324B" w:rsidRPr="00CD6E5A" w14:paraId="55B45205" w14:textId="77777777" w:rsidTr="00E92212">
        <w:tc>
          <w:tcPr>
            <w:tcW w:w="3256" w:type="dxa"/>
          </w:tcPr>
          <w:p w14:paraId="19C2B6BD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Dobrovolné / povinné poskytnutí osobních údajů</w:t>
            </w:r>
          </w:p>
        </w:tc>
        <w:tc>
          <w:tcPr>
            <w:tcW w:w="5800" w:type="dxa"/>
          </w:tcPr>
          <w:p w14:paraId="5DE92EC6" w14:textId="1CAD95B1" w:rsidR="00CD324B" w:rsidRPr="00676C71" w:rsidRDefault="00790C6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Poskytnutí osobních údajů v rámci Oznámení není povinné, ledaže by neuvedením osobních údajů Oznámení zcela ztratilo svůj význam. Oznamovatel je oprávněn uvést v Oznámení jakékoli osobní údaje, anebo žádné osobní údaje neuvádět. V takovém případě je vyžadováno alespoň poskytnutí funkční e-mailové adresy pro účely splnění povinnosti správce OÚ vyrozumět Oznamovatele o přijetí a vyřízení Oznámení, ve smyslu čl. 2 výše.</w:t>
            </w:r>
          </w:p>
        </w:tc>
      </w:tr>
      <w:tr w:rsidR="00CD324B" w:rsidRPr="00CD6E5A" w14:paraId="244C5AAC" w14:textId="77777777" w:rsidTr="00E92212">
        <w:tc>
          <w:tcPr>
            <w:tcW w:w="3256" w:type="dxa"/>
          </w:tcPr>
          <w:p w14:paraId="01BB7FD5" w14:textId="77777777" w:rsidR="00CD324B" w:rsidRPr="00592E80" w:rsidRDefault="00CD324B" w:rsidP="00E922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E80">
              <w:rPr>
                <w:rFonts w:asciiTheme="majorHAnsi" w:hAnsiTheme="majorHAnsi" w:cstheme="majorHAnsi"/>
                <w:b/>
                <w:sz w:val="20"/>
                <w:szCs w:val="20"/>
              </w:rPr>
              <w:t>Automatizované rozhodování</w:t>
            </w:r>
          </w:p>
        </w:tc>
        <w:tc>
          <w:tcPr>
            <w:tcW w:w="5800" w:type="dxa"/>
          </w:tcPr>
          <w:p w14:paraId="1123C514" w14:textId="2E24484C" w:rsidR="00CD324B" w:rsidRPr="00676C71" w:rsidRDefault="00CD324B" w:rsidP="00E922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Správce OÚ na základě osobních údajů přijatých od </w:t>
            </w:r>
            <w:r w:rsidR="00790C6B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neprovádí žádné činnosti, v rámci nichž by docházelo k automatizovanému rozhodování nebo k profilování </w:t>
            </w:r>
            <w:r w:rsidR="00790C6B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ve smyslu čl. 22 odst. 1 a 4, které by pro </w:t>
            </w:r>
            <w:r w:rsidR="00790C6B">
              <w:rPr>
                <w:rFonts w:asciiTheme="majorHAnsi" w:hAnsiTheme="majorHAnsi" w:cstheme="majorHAnsi"/>
                <w:sz w:val="20"/>
                <w:szCs w:val="20"/>
              </w:rPr>
              <w:t>Oznamovatele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mělo právní účinky nebo které by se jej jakkoli významně dotýkalo.</w:t>
            </w:r>
          </w:p>
        </w:tc>
      </w:tr>
    </w:tbl>
    <w:p w14:paraId="79BA5939" w14:textId="585F3ACD" w:rsidR="005E457C" w:rsidRDefault="005E457C"/>
    <w:p w14:paraId="585FA463" w14:textId="77777777" w:rsidR="003270AA" w:rsidRDefault="003270AA"/>
    <w:sectPr w:rsidR="003270AA" w:rsidSect="00876A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9E6"/>
    <w:multiLevelType w:val="hybridMultilevel"/>
    <w:tmpl w:val="F774E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68B"/>
    <w:multiLevelType w:val="hybridMultilevel"/>
    <w:tmpl w:val="F5045352"/>
    <w:lvl w:ilvl="0" w:tplc="D6784C5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6601"/>
    <w:multiLevelType w:val="hybridMultilevel"/>
    <w:tmpl w:val="07E2ECD2"/>
    <w:lvl w:ilvl="0" w:tplc="EE9C7F18">
      <w:start w:val="60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5A7C"/>
    <w:multiLevelType w:val="hybridMultilevel"/>
    <w:tmpl w:val="15CCAF3E"/>
    <w:lvl w:ilvl="0" w:tplc="EE9C7F18">
      <w:start w:val="602"/>
      <w:numFmt w:val="bullet"/>
      <w:lvlText w:val="-"/>
      <w:lvlJc w:val="left"/>
      <w:pPr>
        <w:ind w:left="75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AA"/>
    <w:rsid w:val="000C4D51"/>
    <w:rsid w:val="00121B49"/>
    <w:rsid w:val="00194E7B"/>
    <w:rsid w:val="00294673"/>
    <w:rsid w:val="002D1B06"/>
    <w:rsid w:val="003270AA"/>
    <w:rsid w:val="00430E4A"/>
    <w:rsid w:val="00445694"/>
    <w:rsid w:val="004D170F"/>
    <w:rsid w:val="005E457C"/>
    <w:rsid w:val="006E3AF7"/>
    <w:rsid w:val="00790C6B"/>
    <w:rsid w:val="00876A44"/>
    <w:rsid w:val="008B4C6A"/>
    <w:rsid w:val="00940F60"/>
    <w:rsid w:val="00966D76"/>
    <w:rsid w:val="00A07A85"/>
    <w:rsid w:val="00A10E28"/>
    <w:rsid w:val="00C716CF"/>
    <w:rsid w:val="00C91845"/>
    <w:rsid w:val="00CD324B"/>
    <w:rsid w:val="00D20177"/>
    <w:rsid w:val="00D41F5A"/>
    <w:rsid w:val="00D958CF"/>
    <w:rsid w:val="00E13D49"/>
    <w:rsid w:val="00F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D416"/>
  <w14:defaultImageDpi w14:val="32767"/>
  <w15:chartTrackingRefBased/>
  <w15:docId w15:val="{0BB29BAD-3FAF-A948-859D-F8CFF53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0AA"/>
    <w:pPr>
      <w:ind w:left="720"/>
      <w:contextualSpacing/>
    </w:pPr>
    <w:rPr>
      <w:rFonts w:eastAsiaTheme="minorEastAsia"/>
    </w:rPr>
  </w:style>
  <w:style w:type="table" w:styleId="Mkatabulky">
    <w:name w:val="Table Grid"/>
    <w:basedOn w:val="Normlntabulka"/>
    <w:uiPriority w:val="39"/>
    <w:rsid w:val="00CD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Mališ</dc:creator>
  <cp:keywords/>
  <dc:description/>
  <cp:lastModifiedBy>Adela Satkova</cp:lastModifiedBy>
  <cp:revision>2</cp:revision>
  <dcterms:created xsi:type="dcterms:W3CDTF">2023-12-11T08:59:00Z</dcterms:created>
  <dcterms:modified xsi:type="dcterms:W3CDTF">2023-12-11T08:59:00Z</dcterms:modified>
</cp:coreProperties>
</file>